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Bang1"/>
        <w:tblW w:w="5131"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6"/>
        <w:gridCol w:w="6660"/>
      </w:tblGrid>
      <w:tr w:rsidR="0055485E" w:rsidRPr="0055485E" w:rsidTr="009D02CD">
        <w:tc>
          <w:tcPr>
            <w:tcW w:w="1921" w:type="pct"/>
          </w:tcPr>
          <w:p w:rsidR="0055485E" w:rsidRPr="0055485E" w:rsidRDefault="0055485E" w:rsidP="0055485E">
            <w:pPr>
              <w:widowControl w:val="0"/>
              <w:jc w:val="center"/>
              <w:rPr>
                <w:rFonts w:cs="Times New Roman"/>
                <w:sz w:val="26"/>
                <w:szCs w:val="26"/>
                <w:lang w:eastAsia="vi-VN"/>
              </w:rPr>
            </w:pPr>
            <w:r>
              <w:rPr>
                <w:rFonts w:cs="Times New Roman"/>
                <w:sz w:val="26"/>
                <w:szCs w:val="26"/>
                <w:lang w:eastAsia="vi-VN"/>
              </w:rPr>
              <w:t>QUÂN KHU 1</w:t>
            </w:r>
          </w:p>
          <w:p w:rsidR="0055485E" w:rsidRDefault="0055485E" w:rsidP="0055485E">
            <w:pPr>
              <w:widowControl w:val="0"/>
              <w:jc w:val="center"/>
              <w:rPr>
                <w:rFonts w:cs="Times New Roman"/>
                <w:b/>
                <w:sz w:val="26"/>
                <w:szCs w:val="26"/>
                <w:lang w:eastAsia="vi-VN"/>
              </w:rPr>
            </w:pPr>
            <w:r>
              <w:rPr>
                <w:rFonts w:cs="Times New Roman"/>
                <w:b/>
                <w:sz w:val="26"/>
                <w:szCs w:val="26"/>
                <w:lang w:eastAsia="vi-VN"/>
              </w:rPr>
              <w:t>BỘ CHỈ HUY QUÂN SỰ</w:t>
            </w:r>
          </w:p>
          <w:p w:rsidR="0055485E" w:rsidRPr="0055485E" w:rsidRDefault="0055485E" w:rsidP="0055485E">
            <w:pPr>
              <w:widowControl w:val="0"/>
              <w:jc w:val="center"/>
              <w:rPr>
                <w:rFonts w:cs="Times New Roman"/>
                <w:b/>
                <w:sz w:val="26"/>
                <w:szCs w:val="26"/>
                <w:lang w:val="vi-VN" w:eastAsia="vi-VN"/>
              </w:rPr>
            </w:pPr>
            <w:r>
              <w:rPr>
                <w:rFonts w:cs="Times New Roman"/>
                <w:b/>
                <w:sz w:val="26"/>
                <w:szCs w:val="26"/>
                <w:lang w:eastAsia="vi-VN"/>
              </w:rPr>
              <w:t>TỈNH THÁI NGUYÊN</w:t>
            </w:r>
            <w:r w:rsidRPr="0055485E">
              <w:rPr>
                <w:rFonts w:cs="Times New Roman"/>
                <w:b/>
                <w:sz w:val="26"/>
                <w:szCs w:val="26"/>
                <w:lang w:eastAsia="vi-VN"/>
              </w:rPr>
              <w:t xml:space="preserve"> </w:t>
            </w:r>
          </w:p>
        </w:tc>
        <w:tc>
          <w:tcPr>
            <w:tcW w:w="3079" w:type="pct"/>
          </w:tcPr>
          <w:p w:rsidR="0055485E" w:rsidRPr="0055485E" w:rsidRDefault="0055485E" w:rsidP="0055485E">
            <w:pPr>
              <w:widowControl w:val="0"/>
              <w:jc w:val="center"/>
              <w:rPr>
                <w:rFonts w:cs="Times New Roman"/>
                <w:b/>
                <w:sz w:val="26"/>
                <w:szCs w:val="26"/>
                <w:lang w:eastAsia="vi-VN"/>
              </w:rPr>
            </w:pPr>
            <w:r w:rsidRPr="0055485E">
              <w:rPr>
                <w:rFonts w:cs="Times New Roman"/>
                <w:b/>
                <w:noProof/>
                <w:sz w:val="26"/>
                <w:szCs w:val="26"/>
              </w:rPr>
              <mc:AlternateContent>
                <mc:Choice Requires="wps">
                  <w:drawing>
                    <wp:anchor distT="0" distB="0" distL="114300" distR="114300" simplePos="0" relativeHeight="251657216" behindDoc="0" locked="0" layoutInCell="1" allowOverlap="1" wp14:anchorId="5D676EAD" wp14:editId="640DC527">
                      <wp:simplePos x="0" y="0"/>
                      <wp:positionH relativeFrom="column">
                        <wp:posOffset>1091565</wp:posOffset>
                      </wp:positionH>
                      <wp:positionV relativeFrom="paragraph">
                        <wp:posOffset>383540</wp:posOffset>
                      </wp:positionV>
                      <wp:extent cx="1979930" cy="0"/>
                      <wp:effectExtent l="0" t="0" r="20320" b="19050"/>
                      <wp:wrapNone/>
                      <wp:docPr id="112954734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4F763B" id="_x0000_t32" coordsize="21600,21600" o:spt="32" o:oned="t" path="m,l21600,21600e" filled="f">
                      <v:path arrowok="t" fillok="f" o:connecttype="none"/>
                      <o:lock v:ext="edit" shapetype="t"/>
                    </v:shapetype>
                    <v:shape id="AutoShape 3" o:spid="_x0000_s1026" type="#_x0000_t32" style="position:absolute;margin-left:85.95pt;margin-top:30.2pt;width:155.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"/>
                  </w:pict>
                </mc:Fallback>
              </mc:AlternateContent>
            </w:r>
            <w:r w:rsidRPr="0055485E">
              <w:rPr>
                <w:rFonts w:cs="Times New Roman"/>
                <w:b/>
                <w:sz w:val="26"/>
                <w:szCs w:val="26"/>
                <w:lang w:val="vi-VN" w:eastAsia="vi-VN"/>
              </w:rPr>
              <w:t>CỘNG HÒA XÃ HỘI CHỦ NGHĨA VIỆT NAM</w:t>
            </w:r>
            <w:r w:rsidRPr="0055485E">
              <w:rPr>
                <w:rFonts w:cs="Times New Roman"/>
                <w:b/>
                <w:sz w:val="26"/>
                <w:szCs w:val="26"/>
                <w:lang w:val="vi-VN" w:eastAsia="vi-VN"/>
              </w:rPr>
              <w:br/>
              <w:t xml:space="preserve">Độc lập - Tự do - Hạnh phúc </w:t>
            </w:r>
          </w:p>
        </w:tc>
      </w:tr>
      <w:tr w:rsidR="0055485E" w:rsidRPr="0055485E" w:rsidTr="009D02CD">
        <w:tc>
          <w:tcPr>
            <w:tcW w:w="1921" w:type="pct"/>
          </w:tcPr>
          <w:p w:rsidR="0055485E" w:rsidRPr="0055485E" w:rsidRDefault="0055485E" w:rsidP="0055485E">
            <w:pPr>
              <w:widowControl w:val="0"/>
              <w:jc w:val="center"/>
              <w:rPr>
                <w:rFonts w:cs="Times New Roman"/>
                <w:sz w:val="26"/>
                <w:szCs w:val="26"/>
                <w:lang w:val="vi-VN" w:eastAsia="vi-VN"/>
              </w:rPr>
            </w:pPr>
            <w:r w:rsidRPr="0055485E">
              <w:rPr>
                <w:rFonts w:cs="Times New Roman"/>
                <w:b/>
                <w:noProof/>
                <w:sz w:val="26"/>
                <w:szCs w:val="26"/>
              </w:rPr>
              <mc:AlternateContent>
                <mc:Choice Requires="wps">
                  <w:drawing>
                    <wp:anchor distT="0" distB="0" distL="114300" distR="114300" simplePos="0" relativeHeight="251659264" behindDoc="0" locked="0" layoutInCell="1" allowOverlap="1" wp14:anchorId="5208B1FC" wp14:editId="32A0FE65">
                      <wp:simplePos x="0" y="0"/>
                      <wp:positionH relativeFrom="column">
                        <wp:posOffset>687070</wp:posOffset>
                      </wp:positionH>
                      <wp:positionV relativeFrom="paragraph">
                        <wp:posOffset>2540</wp:posOffset>
                      </wp:positionV>
                      <wp:extent cx="1194180" cy="0"/>
                      <wp:effectExtent l="0" t="0" r="25400" b="19050"/>
                      <wp:wrapNone/>
                      <wp:docPr id="873539839" name="Straight Connector 4"/>
                      <wp:cNvGraphicFramePr/>
                      <a:graphic xmlns:a="http://schemas.openxmlformats.org/drawingml/2006/main">
                        <a:graphicData uri="http://schemas.microsoft.com/office/word/2010/wordprocessingShape">
                          <wps:wsp>
                            <wps:cNvCnPr/>
                            <wps:spPr>
                              <a:xfrm>
                                <a:off x="0" y="0"/>
                                <a:ext cx="11941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EF77E3"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pt,.2pt" to="14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"/>
                  </w:pict>
                </mc:Fallback>
              </mc:AlternateContent>
            </w:r>
          </w:p>
        </w:tc>
        <w:tc>
          <w:tcPr>
            <w:tcW w:w="3079" w:type="pct"/>
          </w:tcPr>
          <w:p w:rsidR="0055485E" w:rsidRPr="0055485E" w:rsidRDefault="0055485E" w:rsidP="0055485E">
            <w:pPr>
              <w:widowControl w:val="0"/>
              <w:spacing w:before="240"/>
              <w:jc w:val="center"/>
              <w:rPr>
                <w:rFonts w:cs="Times New Roman"/>
                <w:i/>
                <w:sz w:val="26"/>
                <w:szCs w:val="26"/>
                <w:lang w:val="vi-VN" w:eastAsia="vi-VN"/>
              </w:rPr>
            </w:pPr>
            <w:r w:rsidRPr="0055485E">
              <w:rPr>
                <w:rFonts w:cs="Times New Roman"/>
                <w:i/>
                <w:iCs/>
                <w:sz w:val="26"/>
                <w:szCs w:val="26"/>
                <w:lang w:val="vi-VN" w:eastAsia="vi-VN"/>
              </w:rPr>
              <w:t xml:space="preserve">Thái Nguyên, ngày </w:t>
            </w:r>
            <w:r w:rsidR="00BC4BD0">
              <w:rPr>
                <w:rFonts w:cs="Times New Roman"/>
                <w:i/>
                <w:iCs/>
                <w:sz w:val="26"/>
                <w:szCs w:val="26"/>
                <w:lang w:eastAsia="vi-VN"/>
              </w:rPr>
              <w:t xml:space="preserve"> 20</w:t>
            </w:r>
            <w:bookmarkStart w:id="0" w:name="_GoBack"/>
            <w:bookmarkEnd w:id="0"/>
            <w:r w:rsidRPr="0055485E">
              <w:rPr>
                <w:rFonts w:cs="Times New Roman"/>
                <w:i/>
                <w:iCs/>
                <w:sz w:val="26"/>
                <w:szCs w:val="26"/>
                <w:lang w:val="vi-VN" w:eastAsia="vi-VN"/>
              </w:rPr>
              <w:t xml:space="preserve"> tháng </w:t>
            </w:r>
            <w:r w:rsidRPr="0055485E">
              <w:rPr>
                <w:rFonts w:cs="Times New Roman"/>
                <w:i/>
                <w:iCs/>
                <w:sz w:val="26"/>
                <w:szCs w:val="26"/>
                <w:lang w:eastAsia="vi-VN"/>
              </w:rPr>
              <w:t>10</w:t>
            </w:r>
            <w:r w:rsidRPr="0055485E">
              <w:rPr>
                <w:rFonts w:cs="Times New Roman"/>
                <w:i/>
                <w:iCs/>
                <w:sz w:val="26"/>
                <w:szCs w:val="26"/>
                <w:lang w:val="vi-VN" w:eastAsia="vi-VN"/>
              </w:rPr>
              <w:t xml:space="preserve"> năm 2026</w:t>
            </w:r>
          </w:p>
        </w:tc>
      </w:tr>
    </w:tbl>
    <w:p w:rsidR="009A317A" w:rsidRDefault="009A317A" w:rsidP="009A317A">
      <w:pPr>
        <w:jc w:val="center"/>
        <w:rPr>
          <w:b/>
          <w:sz w:val="28"/>
        </w:rPr>
      </w:pPr>
    </w:p>
    <w:p w:rsidR="00913957" w:rsidRDefault="00F72AF0" w:rsidP="009A317A">
      <w:pPr>
        <w:jc w:val="center"/>
        <w:rPr>
          <w:b/>
          <w:sz w:val="28"/>
        </w:rPr>
      </w:pPr>
      <w:r w:rsidRPr="003C4D9C">
        <w:rPr>
          <w:b/>
          <w:sz w:val="28"/>
        </w:rPr>
        <w:t>BẢN THUYẾT MINH DỰ THẢO VĂN BẢN QUY PHẠM PHÁP LUẬT</w:t>
      </w:r>
      <w:r w:rsidR="0055485E">
        <w:rPr>
          <w:sz w:val="22"/>
        </w:rPr>
        <w:t xml:space="preserve"> </w:t>
      </w:r>
      <w:r w:rsidRPr="003C4D9C">
        <w:rPr>
          <w:b/>
          <w:sz w:val="28"/>
        </w:rPr>
        <w:t>NGHỊ QUYẾT QUY ĐỊNH MỨC CHI QUÀ GẶP MẶT, THÔNG TIN TÌNH HÌNH</w:t>
      </w:r>
      <w:r w:rsidRPr="003C4D9C">
        <w:rPr>
          <w:b/>
          <w:sz w:val="28"/>
        </w:rPr>
        <w:br/>
        <w:t>ĐỐI VỚI SĨ QUAN QUÂN ĐỘI NGHỈ HƯU TRÊN ĐỊA BÀN TỈNH THÁI NGUYÊN</w:t>
      </w:r>
    </w:p>
    <w:p w:rsidR="009A317A" w:rsidRPr="009A317A" w:rsidRDefault="009A317A" w:rsidP="009A317A">
      <w:pPr>
        <w:jc w:val="center"/>
        <w:rPr>
          <w:sz w:val="22"/>
        </w:rPr>
      </w:pPr>
    </w:p>
    <w:tbl>
      <w:tblPr>
        <w:tblW w:w="0" w:type="auto"/>
        <w:jc w:val="center"/>
        <w:tblLayout w:type="fixed"/>
        <w:tblLook w:val="04A0" w:firstRow="1" w:lastRow="0" w:firstColumn="1" w:lastColumn="0" w:noHBand="0" w:noVBand="1"/>
      </w:tblPr>
      <w:tblGrid>
        <w:gridCol w:w="3513"/>
        <w:gridCol w:w="3513"/>
        <w:gridCol w:w="3572"/>
      </w:tblGrid>
      <w:tr w:rsidR="00913957" w:rsidTr="003C4D9C">
        <w:trPr>
          <w:trHeight w:val="546"/>
          <w:tblHeader/>
          <w:jc w:val="center"/>
        </w:trPr>
        <w:tc>
          <w:tcPr>
            <w:tcW w:w="3513" w:type="dxa"/>
            <w:tcBorders>
              <w:top w:val="single" w:sz="4" w:space="0" w:color="777777"/>
              <w:left w:val="single" w:sz="4" w:space="0" w:color="777777"/>
              <w:bottom w:val="single" w:sz="4" w:space="0" w:color="777777"/>
              <w:right w:val="single" w:sz="4" w:space="0" w:color="777777"/>
            </w:tcBorders>
            <w:vAlign w:val="center"/>
          </w:tcPr>
          <w:p w:rsidR="00913957" w:rsidRPr="00D136A5" w:rsidRDefault="00F72AF0" w:rsidP="00D136A5">
            <w:pPr>
              <w:jc w:val="both"/>
              <w:rPr>
                <w:sz w:val="28"/>
                <w:szCs w:val="28"/>
              </w:rPr>
            </w:pPr>
            <w:r w:rsidRPr="00D136A5">
              <w:rPr>
                <w:b/>
                <w:sz w:val="28"/>
                <w:szCs w:val="28"/>
              </w:rPr>
              <w:t>QUY PHẠM PHÁP LUẬT HIỆN HÀNH</w:t>
            </w:r>
          </w:p>
        </w:tc>
        <w:tc>
          <w:tcPr>
            <w:tcW w:w="3513" w:type="dxa"/>
            <w:tcBorders>
              <w:top w:val="single" w:sz="4" w:space="0" w:color="777777"/>
              <w:left w:val="single" w:sz="4" w:space="0" w:color="777777"/>
              <w:bottom w:val="single" w:sz="4" w:space="0" w:color="777777"/>
              <w:right w:val="single" w:sz="4" w:space="0" w:color="777777"/>
            </w:tcBorders>
            <w:vAlign w:val="center"/>
          </w:tcPr>
          <w:p w:rsidR="00913957" w:rsidRPr="00D136A5" w:rsidRDefault="00F72AF0" w:rsidP="00D136A5">
            <w:pPr>
              <w:jc w:val="both"/>
              <w:rPr>
                <w:sz w:val="28"/>
                <w:szCs w:val="28"/>
              </w:rPr>
            </w:pPr>
            <w:r w:rsidRPr="00D136A5">
              <w:rPr>
                <w:b/>
                <w:sz w:val="28"/>
                <w:szCs w:val="28"/>
              </w:rPr>
              <w:t>DỰ THẢO VĂN BẢN</w:t>
            </w:r>
          </w:p>
        </w:tc>
        <w:tc>
          <w:tcPr>
            <w:tcW w:w="3513" w:type="dxa"/>
            <w:tcBorders>
              <w:top w:val="single" w:sz="4" w:space="0" w:color="777777"/>
              <w:left w:val="single" w:sz="4" w:space="0" w:color="777777"/>
              <w:bottom w:val="single" w:sz="4" w:space="0" w:color="777777"/>
              <w:right w:val="single" w:sz="4" w:space="0" w:color="777777"/>
            </w:tcBorders>
            <w:vAlign w:val="center"/>
          </w:tcPr>
          <w:p w:rsidR="00913957" w:rsidRPr="00D136A5" w:rsidRDefault="00F72AF0" w:rsidP="00D136A5">
            <w:pPr>
              <w:jc w:val="both"/>
              <w:rPr>
                <w:sz w:val="28"/>
                <w:szCs w:val="28"/>
              </w:rPr>
            </w:pPr>
            <w:r w:rsidRPr="00D136A5">
              <w:rPr>
                <w:b/>
                <w:sz w:val="28"/>
                <w:szCs w:val="28"/>
              </w:rPr>
              <w:t>THUYẾT MINH</w:t>
            </w:r>
          </w:p>
        </w:tc>
      </w:tr>
      <w:tr w:rsidR="00913957">
        <w:trPr>
          <w:jc w:val="center"/>
        </w:trPr>
        <w:tc>
          <w:tcPr>
            <w:tcW w:w="226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t>Luật Tổ chức chính quyền địa phương số 72/2025/QH15; Luật Ngân sách nhà nước số 89/2025/QH15; Nghị định số 343/2025/NĐ-CP ngày 28/12/2025 của Chính phủ; Thông tư số 17/2026/TT-BQP ngày 10/3/2026 của Bộ trưởng Bộ Quốc phòng.</w:t>
            </w:r>
          </w:p>
        </w:tc>
        <w:tc>
          <w:tcPr>
            <w:tcW w:w="345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b/>
                <w:sz w:val="28"/>
                <w:szCs w:val="28"/>
              </w:rPr>
              <w:t>Điều 1. Phạm v</w:t>
            </w:r>
            <w:r w:rsidR="009A317A" w:rsidRPr="00D136A5">
              <w:rPr>
                <w:b/>
                <w:sz w:val="28"/>
                <w:szCs w:val="28"/>
              </w:rPr>
              <w:t>i điều chỉnh, đối tượng áp dụng</w:t>
            </w:r>
            <w:r w:rsidRPr="00D136A5">
              <w:rPr>
                <w:sz w:val="28"/>
                <w:szCs w:val="28"/>
              </w:rPr>
              <w:br/>
              <w:t>1. Phạm vi điều chỉnh</w:t>
            </w:r>
            <w:r w:rsidRPr="00D136A5">
              <w:rPr>
                <w:sz w:val="28"/>
                <w:szCs w:val="28"/>
              </w:rPr>
              <w:br/>
              <w:t>Nghị quyết này quy định mức chi quà gặp mặt, thông tin tình hình đối với sĩ quan Quân đội nghỉ hưu</w:t>
            </w:r>
            <w:r w:rsidR="009A317A" w:rsidRPr="00D136A5">
              <w:rPr>
                <w:sz w:val="28"/>
                <w:szCs w:val="28"/>
              </w:rPr>
              <w:t xml:space="preserve"> trên địa bàn tỉnh Thái Nguyên.</w:t>
            </w:r>
            <w:r w:rsidRPr="00D136A5">
              <w:rPr>
                <w:sz w:val="28"/>
                <w:szCs w:val="28"/>
              </w:rPr>
              <w:br/>
              <w:t>2. Đối tượng áp dụng</w:t>
            </w:r>
            <w:r w:rsidRPr="00D136A5">
              <w:rPr>
                <w:sz w:val="28"/>
                <w:szCs w:val="28"/>
              </w:rPr>
              <w:br/>
              <w:t xml:space="preserve"> a) Sĩ quan cấp Tá, cấp Úy đã nghỉ hưu quy định tại điểm đ, điểm e, điểm g khoản 2 Điều 2 Nghị định số 343/2025/NĐ-CP ngày 28/12/2025 của Chính phủ;</w:t>
            </w:r>
            <w:r w:rsidRPr="00D136A5">
              <w:rPr>
                <w:sz w:val="28"/>
                <w:szCs w:val="28"/>
              </w:rPr>
              <w:br/>
              <w:t xml:space="preserve"> b) Các cơ quan, tổ chức và cá nhân có liên quan đến việc thực hiện Nghị quyết này.</w:t>
            </w:r>
          </w:p>
        </w:tc>
        <w:tc>
          <w:tcPr>
            <w:tcW w:w="3572" w:type="dxa"/>
            <w:tcBorders>
              <w:top w:val="single" w:sz="4" w:space="0" w:color="777777"/>
              <w:left w:val="single" w:sz="4" w:space="0" w:color="777777"/>
              <w:bottom w:val="single" w:sz="4" w:space="0" w:color="777777"/>
              <w:right w:val="single" w:sz="4" w:space="0" w:color="777777"/>
            </w:tcBorders>
          </w:tcPr>
          <w:p w:rsidR="00913957" w:rsidRPr="00D136A5" w:rsidRDefault="00F72AF0" w:rsidP="00B56DD9">
            <w:pPr>
              <w:spacing w:after="60" w:line="240" w:lineRule="auto"/>
              <w:jc w:val="both"/>
              <w:rPr>
                <w:sz w:val="28"/>
                <w:szCs w:val="28"/>
              </w:rPr>
            </w:pPr>
            <w:r w:rsidRPr="00D136A5">
              <w:rPr>
                <w:sz w:val="28"/>
                <w:szCs w:val="28"/>
              </w:rPr>
              <w:t>Việc dẫn chiếu đến các nhóm đối tượng tại điểm đ, điểm e, điểm g khoản 2 Điều 2 Nghị định số 343/2025/NĐ-CP nhằm bám sát đối tượng theo văn bản của Chính phủ, không tự mở r</w:t>
            </w:r>
            <w:r w:rsidR="009A317A" w:rsidRPr="00D136A5">
              <w:rPr>
                <w:sz w:val="28"/>
                <w:szCs w:val="28"/>
              </w:rPr>
              <w:t>ộng đối tượng hưởng chính sách.</w:t>
            </w:r>
            <w:r w:rsidRPr="00D136A5">
              <w:rPr>
                <w:sz w:val="28"/>
                <w:szCs w:val="28"/>
              </w:rPr>
              <w:br/>
            </w:r>
          </w:p>
        </w:tc>
      </w:tr>
      <w:tr w:rsidR="00913957">
        <w:trPr>
          <w:jc w:val="center"/>
        </w:trPr>
        <w:tc>
          <w:tcPr>
            <w:tcW w:w="226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t xml:space="preserve">Nghị định số 343/2025/NĐ-CP quy định chế độ đối với sĩ quan Quân đội nghỉ hưu; Thông tư số 17/2026/TT-BQP quy định, hướng dẫn thực hiện một số điều của Nghị định này. Luật Ngân sách nhà nước số 89/2025/QH15 và Nghị định số 73/2026/NĐ-CP quy định </w:t>
            </w:r>
            <w:r w:rsidRPr="00D136A5">
              <w:rPr>
                <w:sz w:val="28"/>
                <w:szCs w:val="28"/>
              </w:rPr>
              <w:lastRenderedPageBreak/>
              <w:t>về quản lý, phân cấp và tổ chức thực hiện ngân sách nhà nước.</w:t>
            </w:r>
          </w:p>
        </w:tc>
        <w:tc>
          <w:tcPr>
            <w:tcW w:w="345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b/>
                <w:sz w:val="28"/>
                <w:szCs w:val="28"/>
              </w:rPr>
              <w:lastRenderedPageBreak/>
              <w:t>Điều 2. Mức chi q</w:t>
            </w:r>
            <w:r w:rsidR="009A317A" w:rsidRPr="00D136A5">
              <w:rPr>
                <w:b/>
                <w:sz w:val="28"/>
                <w:szCs w:val="28"/>
              </w:rPr>
              <w:t>uà gặp mặt, thông tin tình hình</w:t>
            </w:r>
            <w:r w:rsidRPr="00D136A5">
              <w:rPr>
                <w:sz w:val="28"/>
                <w:szCs w:val="28"/>
              </w:rPr>
              <w:br/>
              <w:t xml:space="preserve">Mức chi quà gặp mặt, thông tin tình hình đối với sĩ quan Quân đội nghỉ hưu thuộc đối tượng quy định tại điểm a khoản 2 Điều 1 Nghị quyết này là </w:t>
            </w:r>
            <w:r w:rsidR="00D136A5" w:rsidRPr="00D136A5">
              <w:rPr>
                <w:sz w:val="28"/>
                <w:szCs w:val="28"/>
              </w:rPr>
              <w:t>7</w:t>
            </w:r>
            <w:r w:rsidRPr="00D136A5">
              <w:rPr>
                <w:sz w:val="28"/>
                <w:szCs w:val="28"/>
              </w:rPr>
              <w:t>00.000 đồng/người/năm.</w:t>
            </w:r>
          </w:p>
        </w:tc>
        <w:tc>
          <w:tcPr>
            <w:tcW w:w="3572" w:type="dxa"/>
            <w:tcBorders>
              <w:top w:val="single" w:sz="4" w:space="0" w:color="777777"/>
              <w:left w:val="single" w:sz="4" w:space="0" w:color="777777"/>
              <w:bottom w:val="single" w:sz="4" w:space="0" w:color="777777"/>
              <w:right w:val="single" w:sz="4" w:space="0" w:color="777777"/>
            </w:tcBorders>
          </w:tcPr>
          <w:p w:rsidR="00D136A5" w:rsidRPr="00D136A5" w:rsidRDefault="00D136A5" w:rsidP="00D136A5">
            <w:pPr>
              <w:pStyle w:val="NormalWeb"/>
              <w:spacing w:before="0" w:beforeAutospacing="0" w:after="0" w:afterAutospacing="0"/>
              <w:jc w:val="both"/>
              <w:rPr>
                <w:sz w:val="28"/>
                <w:szCs w:val="28"/>
              </w:rPr>
            </w:pPr>
            <w:r w:rsidRPr="00D136A5">
              <w:rPr>
                <w:sz w:val="28"/>
                <w:szCs w:val="28"/>
              </w:rPr>
              <w:t xml:space="preserve">Việc đề xuất mức chi quà gặp mặt, thông tin tình hình đối với sĩ quan Quân đội nghỉ hưu trên địa bàn tỉnh Thái Nguyên là 700.000 đồng/người/năm được xây dựng trên cơ sở xem xét mục đích, ý nghĩa của chính sách, điều kiện thực tiễn của địa phương, khả năng cân đối ngân sách nhà nước và yêu </w:t>
            </w:r>
            <w:r w:rsidRPr="00D136A5">
              <w:rPr>
                <w:sz w:val="28"/>
                <w:szCs w:val="28"/>
              </w:rPr>
              <w:lastRenderedPageBreak/>
              <w:t>cầu bảo đảm tính khả thi trong quá trình tổ chức thực hiện.</w:t>
            </w:r>
          </w:p>
          <w:p w:rsidR="00D136A5" w:rsidRPr="00D136A5" w:rsidRDefault="00D136A5" w:rsidP="00D136A5">
            <w:pPr>
              <w:pStyle w:val="NormalWeb"/>
              <w:spacing w:before="0" w:beforeAutospacing="0" w:after="0" w:afterAutospacing="0"/>
              <w:jc w:val="both"/>
              <w:rPr>
                <w:sz w:val="28"/>
                <w:szCs w:val="28"/>
              </w:rPr>
            </w:pPr>
            <w:r w:rsidRPr="00D136A5">
              <w:rPr>
                <w:sz w:val="28"/>
                <w:szCs w:val="28"/>
              </w:rPr>
              <w:t xml:space="preserve">Thứ nhất, bảo đảm sự quan tâm của chính quyền địa phương đối với sĩ quan Quân đội nghỉ hưu. Sĩ quan Quân đội nghỉ hưu là những người đã có quá trình công tác, cống hiến trong sự nghiệp xây dựng và bảo vệ Tổ quốc. Việc tổ chức gặp mặt, thông tin tình hình và tặng quà hằng năm thể hiện sự quan tâm, tri ân của Đảng, </w:t>
            </w:r>
            <w:r w:rsidR="00B56DD9">
              <w:rPr>
                <w:sz w:val="28"/>
                <w:szCs w:val="28"/>
              </w:rPr>
              <w:t>Nhà nước</w:t>
            </w:r>
            <w:r w:rsidRPr="00D136A5">
              <w:rPr>
                <w:sz w:val="28"/>
                <w:szCs w:val="28"/>
              </w:rPr>
              <w:t xml:space="preserve"> và Nhân dân đối với những đóng góp của các đồng chí; đồng thời góp phần duy trì mối liên hệ, động viên các đồng chí tiếp tục phát huy phẩm chất, truyền thống tốt đẹp của Bộ đội Cụ Hồ, đóng góp kinh nghiệm, trí tuệ vào sự nghiệp xây dựng nền quốc phòng toàn dân, xây dựng lực lượng vũ trang địa phương và phát triển kinh tế - xã hội của tỉnh.</w:t>
            </w:r>
          </w:p>
          <w:p w:rsidR="00D136A5" w:rsidRPr="00D136A5" w:rsidRDefault="00D136A5" w:rsidP="00D136A5">
            <w:pPr>
              <w:pStyle w:val="NormalWeb"/>
              <w:spacing w:before="0" w:beforeAutospacing="0" w:after="0" w:afterAutospacing="0"/>
              <w:jc w:val="both"/>
              <w:rPr>
                <w:sz w:val="28"/>
                <w:szCs w:val="28"/>
              </w:rPr>
            </w:pPr>
            <w:r w:rsidRPr="00D136A5">
              <w:rPr>
                <w:sz w:val="28"/>
                <w:szCs w:val="28"/>
              </w:rPr>
              <w:t xml:space="preserve">Thứ hai, mức chi được xác định phù hợp với tính chất, mục đích của chính sách. Khoản chi 700.000 đồng/người/năm là mức quà gặp mặt mang ý nghĩa động viên, thăm hỏi và thể hiện tình cảm, sự trân trọng của địa phương đối với sĩ quan Quân đội nghỉ hưu; không mang tính chất trợ cấp thường xuyên hoặc thay thế các chế độ, chính sách hiện hành. Việc quy định mức chi cụ thể, </w:t>
            </w:r>
            <w:r w:rsidRPr="00D136A5">
              <w:rPr>
                <w:sz w:val="28"/>
                <w:szCs w:val="28"/>
              </w:rPr>
              <w:lastRenderedPageBreak/>
              <w:t>thống nhất góp phần bảo đảm tính công khai, minh bạch, công bằng giữa các đối tượng đủ điều kiện thụ hưởng trên địa bàn tỉnh.</w:t>
            </w:r>
          </w:p>
          <w:p w:rsidR="00B56DD9" w:rsidRDefault="00D136A5" w:rsidP="00D136A5">
            <w:pPr>
              <w:pStyle w:val="NormalWeb"/>
              <w:spacing w:before="0" w:beforeAutospacing="0" w:after="0" w:afterAutospacing="0"/>
              <w:jc w:val="both"/>
              <w:rPr>
                <w:sz w:val="28"/>
                <w:szCs w:val="28"/>
              </w:rPr>
            </w:pPr>
            <w:r w:rsidRPr="00D136A5">
              <w:rPr>
                <w:sz w:val="28"/>
                <w:szCs w:val="28"/>
              </w:rPr>
              <w:t xml:space="preserve">Thứ ba, bảo đảm tính khả thi, phù hợp với khả năng cân đối ngân sách và tình hình thực tế của địa phương. Việc lựa chọn mức chi 700.000 đồng/người/năm được xem xét trên cơ sở tương quan giữa số lượng đối tượng thụ hưởng, nhu cầu kinh phí thực hiện chính sách, khả năng cân đối ngân sách địa phương và yêu cầu bảo đảm nguồn lực cho các nhiệm vụ chi ngân sách khác. Đồng thời, mức chi được cân nhắc phù hợp với tình hình phát triển kinh tế - xã hội, biến động mặt bằng giá cả, chỉ số giá tiêu dùng và điều kiện thực tế của tỉnh, nhằm bảo đảm giá trị động viên, thăm hỏi của phần quà, đáp ứng mục đích, ý nghĩa của chính sách. Theo số liệu ước tính năm 2026, tổng số đối tượng thuộc hai nhóm tại cấp tỉnh và 92 xã, phường là 5.455 người; với mức chi dự kiến 700.000 đồng/người/năm, tổng nhu cầu kinh phí là 3.818.500.000 đồng/năm, trên cơ sở hai nhóm đối tượng không trùng lặp. Việc xác định mức chi này nhằm hài hòa giữa yêu cầu thực hiện chính sách, bảo đảm sự quan </w:t>
            </w:r>
            <w:r w:rsidRPr="00D136A5">
              <w:rPr>
                <w:sz w:val="28"/>
                <w:szCs w:val="28"/>
              </w:rPr>
              <w:lastRenderedPageBreak/>
              <w:t>tâm đối với sĩ quan Quân đội nghỉ hưu và khả năng bảo đảm nguồn lực của ngân sách địa phương</w:t>
            </w:r>
            <w:r w:rsidR="00B56DD9">
              <w:rPr>
                <w:sz w:val="28"/>
                <w:szCs w:val="28"/>
              </w:rPr>
              <w:t>.</w:t>
            </w:r>
          </w:p>
          <w:p w:rsidR="00D136A5" w:rsidRPr="00D136A5" w:rsidRDefault="00D136A5" w:rsidP="00D136A5">
            <w:pPr>
              <w:pStyle w:val="NormalWeb"/>
              <w:spacing w:before="0" w:beforeAutospacing="0" w:after="0" w:afterAutospacing="0"/>
              <w:jc w:val="both"/>
              <w:rPr>
                <w:sz w:val="28"/>
                <w:szCs w:val="28"/>
              </w:rPr>
            </w:pPr>
            <w:r w:rsidRPr="00D136A5">
              <w:rPr>
                <w:sz w:val="28"/>
                <w:szCs w:val="28"/>
              </w:rPr>
              <w:t>Thứ tư, bảo đảm thuận lợi trong tổ chức thực hiện và quản lý ngân sách. Việc quy định mức chi bằng một mức tiền cụ thể theo đầu người, theo năm tạo thuận lợi cho các cơ quan, đơn vị, địa phương trong việc lập dự toán, tổng hợp nhu cầu kinh phí, tổ chức thực hiện và thanh quyết toán theo quy định. Đồng thời, đây là căn cứ để thống nhất áp dụng chính sách trên địa bàn tỉnh, hạn chế sự khác biệt trong quá trình triển khai giữa cấp tỉnh và cấp xã, phường.</w:t>
            </w:r>
          </w:p>
          <w:p w:rsidR="00D136A5" w:rsidRPr="00D136A5" w:rsidRDefault="00D136A5" w:rsidP="00D136A5">
            <w:pPr>
              <w:pStyle w:val="NormalWeb"/>
              <w:spacing w:before="0" w:beforeAutospacing="0" w:after="0" w:afterAutospacing="0"/>
              <w:jc w:val="both"/>
              <w:rPr>
                <w:sz w:val="28"/>
                <w:szCs w:val="28"/>
              </w:rPr>
            </w:pPr>
            <w:r w:rsidRPr="00D136A5">
              <w:rPr>
                <w:sz w:val="28"/>
                <w:szCs w:val="28"/>
              </w:rPr>
              <w:t>Từ những cơ sở nêu trên, việc đề xuất quy định mức chi quà gặp mặt, thông tin tình hình đối với sĩ quan Quân đội nghỉ hưu trên địa bàn tỉnh Thái Nguyên là 700.000 đồng/người/năm nhằm bảo đảm sự quan tâm, động viên kịp thời của địa phương đối với các đối tượng thụ hưởng, đồng thời đáp ứng yêu cầu thống nhất trong tổ chức thực hiện, phù hợp với điều kiện thực tế và khả năng cân đối ngân sách địa phương.</w:t>
            </w:r>
          </w:p>
          <w:p w:rsidR="00913957" w:rsidRPr="00D136A5" w:rsidRDefault="00913957" w:rsidP="00D136A5">
            <w:pPr>
              <w:spacing w:after="60" w:line="240" w:lineRule="auto"/>
              <w:jc w:val="both"/>
              <w:rPr>
                <w:sz w:val="28"/>
                <w:szCs w:val="28"/>
              </w:rPr>
            </w:pPr>
          </w:p>
        </w:tc>
      </w:tr>
      <w:tr w:rsidR="00913957">
        <w:trPr>
          <w:jc w:val="center"/>
        </w:trPr>
        <w:tc>
          <w:tcPr>
            <w:tcW w:w="226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lastRenderedPageBreak/>
              <w:t xml:space="preserve">Luật Ngân sách nhà nước số 89/2025/QH15; Nghị định số 73/2026/NĐ-CP ngày 10/3/2026 của Chính phủ quy </w:t>
            </w:r>
            <w:r w:rsidRPr="00D136A5">
              <w:rPr>
                <w:sz w:val="28"/>
                <w:szCs w:val="28"/>
              </w:rPr>
              <w:lastRenderedPageBreak/>
              <w:t>định chi tiết và hướng dẫn thi hành một số điều của Luật Ngân sách nhà nước.</w:t>
            </w:r>
          </w:p>
        </w:tc>
        <w:tc>
          <w:tcPr>
            <w:tcW w:w="345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b/>
                <w:sz w:val="28"/>
                <w:szCs w:val="28"/>
              </w:rPr>
              <w:lastRenderedPageBreak/>
              <w:t>Đ</w:t>
            </w:r>
            <w:r w:rsidR="009A317A" w:rsidRPr="00D136A5">
              <w:rPr>
                <w:b/>
                <w:sz w:val="28"/>
                <w:szCs w:val="28"/>
              </w:rPr>
              <w:t>iều 3. Nguồn kinh phí thực hiện</w:t>
            </w:r>
            <w:r w:rsidRPr="00D136A5">
              <w:rPr>
                <w:sz w:val="28"/>
                <w:szCs w:val="28"/>
              </w:rPr>
              <w:br/>
              <w:t xml:space="preserve">Kinh phí thực hiện Nghị quyết do ngân sách nhà nước </w:t>
            </w:r>
            <w:r w:rsidRPr="00D136A5">
              <w:rPr>
                <w:sz w:val="28"/>
                <w:szCs w:val="28"/>
              </w:rPr>
              <w:lastRenderedPageBreak/>
              <w:t>bảo đảm theo phân cấp ngân sách nhà nước hiện hành và được bố trí trong dự toán ngân sách hằng năm theo quy định của Luật Ngân sách nhà nước.</w:t>
            </w:r>
          </w:p>
        </w:tc>
        <w:tc>
          <w:tcPr>
            <w:tcW w:w="3572"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lastRenderedPageBreak/>
              <w:t xml:space="preserve">Việc quản lý, sử dụng, thanh quyết toán kinh phí phải thực hiện theo pháp luật về ngân sách nhà nước và các quy định </w:t>
            </w:r>
            <w:r w:rsidRPr="00D136A5">
              <w:rPr>
                <w:sz w:val="28"/>
                <w:szCs w:val="28"/>
              </w:rPr>
              <w:lastRenderedPageBreak/>
              <w:t>tài chính có liên quan; không làm phát sinh cơ chế chi ngoài dự toán hoặc vượt t</w:t>
            </w:r>
            <w:r w:rsidR="009A317A" w:rsidRPr="00D136A5">
              <w:rPr>
                <w:sz w:val="28"/>
                <w:szCs w:val="28"/>
              </w:rPr>
              <w:t>hẩm quyền quyết định ngân sách.</w:t>
            </w:r>
          </w:p>
        </w:tc>
      </w:tr>
      <w:tr w:rsidR="00913957">
        <w:trPr>
          <w:jc w:val="center"/>
        </w:trPr>
        <w:tc>
          <w:tcPr>
            <w:tcW w:w="226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lastRenderedPageBreak/>
              <w:t>Luật Tổ chức chính quyền địa phương số 72/2025/QH15 và các quy định pháp luật có liên quan về trách nhiệm tổ chức thực hiện, giám sát việc thi hành nghị quyết của Hội đồng nhân dân.</w:t>
            </w:r>
          </w:p>
        </w:tc>
        <w:tc>
          <w:tcPr>
            <w:tcW w:w="3458" w:type="dxa"/>
            <w:tcBorders>
              <w:top w:val="single" w:sz="4" w:space="0" w:color="777777"/>
              <w:left w:val="single" w:sz="4" w:space="0" w:color="777777"/>
              <w:bottom w:val="single" w:sz="4" w:space="0" w:color="777777"/>
              <w:right w:val="single" w:sz="4" w:space="0" w:color="777777"/>
            </w:tcBorders>
          </w:tcPr>
          <w:p w:rsidR="00913957" w:rsidRPr="00D136A5" w:rsidRDefault="009A317A" w:rsidP="00D136A5">
            <w:pPr>
              <w:spacing w:after="60" w:line="240" w:lineRule="auto"/>
              <w:jc w:val="both"/>
              <w:rPr>
                <w:sz w:val="28"/>
                <w:szCs w:val="28"/>
              </w:rPr>
            </w:pPr>
            <w:r w:rsidRPr="00D136A5">
              <w:rPr>
                <w:b/>
                <w:sz w:val="28"/>
                <w:szCs w:val="28"/>
              </w:rPr>
              <w:t>Điều 4. Tổ chức thực hiện</w:t>
            </w:r>
            <w:r w:rsidR="00F72AF0" w:rsidRPr="00D136A5">
              <w:rPr>
                <w:sz w:val="28"/>
                <w:szCs w:val="28"/>
              </w:rPr>
              <w:br/>
              <w:t>1. Giao Ủy ban nhân dân tỉnh tổ chức thực hiện Nghị quyết th</w:t>
            </w:r>
            <w:r w:rsidRPr="00D136A5">
              <w:rPr>
                <w:sz w:val="28"/>
                <w:szCs w:val="28"/>
              </w:rPr>
              <w:t>eo đúng quy định của pháp luật.</w:t>
            </w:r>
            <w:r w:rsidR="00F72AF0" w:rsidRPr="00D136A5">
              <w:rPr>
                <w:sz w:val="28"/>
                <w:szCs w:val="28"/>
              </w:rPr>
              <w:br/>
              <w:t>2. Giao Thường trực Hội đồng nhân dân tỉnh, các Ban Hội đồng nhân dân tỉnh, các Tổ đại biểu Hội đồng nhân dân tỉnh, đại biểu Hội đồng nhân dân tỉnh giám sát việc thực hiện Nghị quyết.</w:t>
            </w:r>
          </w:p>
        </w:tc>
        <w:tc>
          <w:tcPr>
            <w:tcW w:w="3572" w:type="dxa"/>
            <w:tcBorders>
              <w:top w:val="single" w:sz="4" w:space="0" w:color="777777"/>
              <w:left w:val="single" w:sz="4" w:space="0" w:color="777777"/>
              <w:bottom w:val="single" w:sz="4" w:space="0" w:color="777777"/>
              <w:right w:val="single" w:sz="4" w:space="0" w:color="777777"/>
            </w:tcBorders>
          </w:tcPr>
          <w:p w:rsidR="00913957" w:rsidRPr="00D136A5" w:rsidRDefault="00B56DD9" w:rsidP="00D136A5">
            <w:pPr>
              <w:spacing w:after="60" w:line="240" w:lineRule="auto"/>
              <w:jc w:val="both"/>
              <w:rPr>
                <w:sz w:val="28"/>
                <w:szCs w:val="28"/>
              </w:rPr>
            </w:pPr>
            <w:r>
              <w:rPr>
                <w:sz w:val="28"/>
                <w:szCs w:val="28"/>
              </w:rPr>
              <w:t>Đảm bảo việc tổ chức thực hiện theo quy định của pháp luật.</w:t>
            </w:r>
          </w:p>
        </w:tc>
      </w:tr>
      <w:tr w:rsidR="00913957">
        <w:trPr>
          <w:jc w:val="center"/>
        </w:trPr>
        <w:tc>
          <w:tcPr>
            <w:tcW w:w="2268" w:type="dxa"/>
            <w:tcBorders>
              <w:top w:val="single" w:sz="4" w:space="0" w:color="777777"/>
              <w:left w:val="single" w:sz="4" w:space="0" w:color="777777"/>
              <w:bottom w:val="single" w:sz="4" w:space="0" w:color="777777"/>
              <w:right w:val="single" w:sz="4" w:space="0" w:color="777777"/>
            </w:tcBorders>
          </w:tcPr>
          <w:p w:rsidR="00913957" w:rsidRPr="00D136A5" w:rsidRDefault="00F72AF0" w:rsidP="00D136A5">
            <w:pPr>
              <w:spacing w:after="60" w:line="240" w:lineRule="auto"/>
              <w:jc w:val="both"/>
              <w:rPr>
                <w:sz w:val="28"/>
                <w:szCs w:val="28"/>
              </w:rPr>
            </w:pPr>
            <w:r w:rsidRPr="00D136A5">
              <w:rPr>
                <w:sz w:val="28"/>
                <w:szCs w:val="28"/>
              </w:rPr>
              <w:t>Nghị định số 78/2025/NĐ-CP ngày 01/4/2025 của Chính phủ quy định chi tiết một số điều và biện pháp để tổ chức, hướng dẫn thi hành Luật Ban hành văn bản quy phạm pháp luật; pháp luật hiện hành về hiệu lực thi hành văn bản quy phạm pháp luật của Hội đồng nhân dân.</w:t>
            </w:r>
          </w:p>
        </w:tc>
        <w:tc>
          <w:tcPr>
            <w:tcW w:w="3458" w:type="dxa"/>
            <w:tcBorders>
              <w:top w:val="single" w:sz="4" w:space="0" w:color="777777"/>
              <w:left w:val="single" w:sz="4" w:space="0" w:color="777777"/>
              <w:bottom w:val="single" w:sz="4" w:space="0" w:color="777777"/>
              <w:right w:val="single" w:sz="4" w:space="0" w:color="777777"/>
            </w:tcBorders>
          </w:tcPr>
          <w:p w:rsidR="00913957" w:rsidRPr="00D136A5" w:rsidRDefault="009A317A" w:rsidP="00D136A5">
            <w:pPr>
              <w:spacing w:after="60" w:line="240" w:lineRule="auto"/>
              <w:jc w:val="both"/>
              <w:rPr>
                <w:sz w:val="28"/>
                <w:szCs w:val="28"/>
              </w:rPr>
            </w:pPr>
            <w:r w:rsidRPr="00D136A5">
              <w:rPr>
                <w:b/>
                <w:sz w:val="28"/>
                <w:szCs w:val="28"/>
              </w:rPr>
              <w:t>Điều 5. Hiệu lực thi hành</w:t>
            </w:r>
            <w:r w:rsidR="00F72AF0" w:rsidRPr="00D136A5">
              <w:rPr>
                <w:sz w:val="28"/>
                <w:szCs w:val="28"/>
              </w:rPr>
              <w:br/>
              <w:t xml:space="preserve">Nghị quyết này có hiệu lực thi hành </w:t>
            </w:r>
            <w:r w:rsidRPr="00D136A5">
              <w:rPr>
                <w:sz w:val="28"/>
                <w:szCs w:val="28"/>
              </w:rPr>
              <w:t>từ ngày      tháng 11 năm 2026.</w:t>
            </w:r>
            <w:r w:rsidR="00F72AF0" w:rsidRPr="00D136A5">
              <w:rPr>
                <w:sz w:val="28"/>
                <w:szCs w:val="28"/>
              </w:rPr>
              <w:br/>
              <w:t>Nghị quyết này đã được Hội đồng nhân dân tỉnh Thái Nguyên khóa XV, Kỳ họp thứ ..... (Kỳ họp chuyên đề) thông qua ngày     tháng     năm 2026.</w:t>
            </w:r>
          </w:p>
        </w:tc>
        <w:tc>
          <w:tcPr>
            <w:tcW w:w="3572" w:type="dxa"/>
            <w:tcBorders>
              <w:top w:val="single" w:sz="4" w:space="0" w:color="777777"/>
              <w:left w:val="single" w:sz="4" w:space="0" w:color="777777"/>
              <w:bottom w:val="single" w:sz="4" w:space="0" w:color="777777"/>
              <w:right w:val="single" w:sz="4" w:space="0" w:color="777777"/>
            </w:tcBorders>
          </w:tcPr>
          <w:p w:rsidR="00913957" w:rsidRDefault="00913957" w:rsidP="00D136A5">
            <w:pPr>
              <w:spacing w:after="60" w:line="240" w:lineRule="auto"/>
              <w:jc w:val="both"/>
              <w:rPr>
                <w:sz w:val="28"/>
                <w:szCs w:val="28"/>
              </w:rPr>
            </w:pPr>
          </w:p>
          <w:p w:rsidR="00B56DD9" w:rsidRPr="00D136A5" w:rsidRDefault="00B56DD9" w:rsidP="00B56DD9">
            <w:pPr>
              <w:spacing w:after="60" w:line="240" w:lineRule="auto"/>
              <w:jc w:val="both"/>
              <w:rPr>
                <w:sz w:val="28"/>
                <w:szCs w:val="28"/>
              </w:rPr>
            </w:pPr>
            <w:r>
              <w:rPr>
                <w:sz w:val="28"/>
                <w:szCs w:val="28"/>
              </w:rPr>
              <w:t>Theo quy định hiện hành của pháp luật</w:t>
            </w:r>
          </w:p>
        </w:tc>
      </w:tr>
    </w:tbl>
    <w:p w:rsidR="00913957" w:rsidRDefault="00913957" w:rsidP="009A317A">
      <w:pPr>
        <w:jc w:val="both"/>
      </w:pPr>
    </w:p>
    <w:sectPr w:rsidR="00913957" w:rsidSect="00034616">
      <w:pgSz w:w="12240" w:h="15840"/>
      <w:pgMar w:top="907"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C4D9C"/>
    <w:rsid w:val="0055485E"/>
    <w:rsid w:val="00913957"/>
    <w:rsid w:val="009A317A"/>
    <w:rsid w:val="009E3D71"/>
    <w:rsid w:val="00AA1D8D"/>
    <w:rsid w:val="00B47730"/>
    <w:rsid w:val="00B56DD9"/>
    <w:rsid w:val="00BC4BD0"/>
    <w:rsid w:val="00CB0664"/>
    <w:rsid w:val="00D136A5"/>
    <w:rsid w:val="00F72A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4B5C9"/>
  <w14:defaultImageDpi w14:val="300"/>
  <w15:docId w15:val="{CBEA7AE9-760B-46EE-AFA7-4AD26671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Bang1">
    <w:name w:val="Lưới Bảng1"/>
    <w:basedOn w:val="TableNormal"/>
    <w:next w:val="TableGrid"/>
    <w:uiPriority w:val="39"/>
    <w:rsid w:val="0055485E"/>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136A5"/>
    <w:pPr>
      <w:spacing w:before="100" w:beforeAutospacing="1" w:after="100" w:afterAutospacing="1" w:line="240" w:lineRule="auto"/>
    </w:pPr>
    <w:rPr>
      <w:rFonts w:cs="Times New Roman"/>
      <w:sz w:val="24"/>
      <w:szCs w:val="24"/>
    </w:rPr>
  </w:style>
  <w:style w:type="paragraph" w:styleId="NormalWeb">
    <w:name w:val="Normal (Web)"/>
    <w:basedOn w:val="Normal"/>
    <w:uiPriority w:val="99"/>
    <w:semiHidden/>
    <w:unhideWhenUsed/>
    <w:rsid w:val="00D136A5"/>
    <w:pPr>
      <w:spacing w:before="100" w:beforeAutospacing="1" w:after="100" w:afterAutospacing="1" w:line="240" w:lineRule="auto"/>
    </w:pPr>
    <w:rPr>
      <w:rFonts w:cs="Times New Roman"/>
      <w:sz w:val="24"/>
      <w:szCs w:val="24"/>
    </w:rPr>
  </w:style>
  <w:style w:type="paragraph" w:styleId="BalloonText">
    <w:name w:val="Balloon Text"/>
    <w:basedOn w:val="Normal"/>
    <w:link w:val="BalloonTextChar"/>
    <w:uiPriority w:val="99"/>
    <w:semiHidden/>
    <w:unhideWhenUsed/>
    <w:rsid w:val="00BC4B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BD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88041">
      <w:bodyDiv w:val="1"/>
      <w:marLeft w:val="0"/>
      <w:marRight w:val="0"/>
      <w:marTop w:val="0"/>
      <w:marBottom w:val="0"/>
      <w:divBdr>
        <w:top w:val="none" w:sz="0" w:space="0" w:color="auto"/>
        <w:left w:val="none" w:sz="0" w:space="0" w:color="auto"/>
        <w:bottom w:val="none" w:sz="0" w:space="0" w:color="auto"/>
        <w:right w:val="none" w:sz="0" w:space="0" w:color="auto"/>
      </w:divBdr>
      <w:divsChild>
        <w:div w:id="404769704">
          <w:marLeft w:val="0"/>
          <w:marRight w:val="0"/>
          <w:marTop w:val="0"/>
          <w:marBottom w:val="0"/>
          <w:divBdr>
            <w:top w:val="none" w:sz="0" w:space="0" w:color="auto"/>
            <w:left w:val="none" w:sz="0" w:space="0" w:color="auto"/>
            <w:bottom w:val="none" w:sz="0" w:space="0" w:color="auto"/>
            <w:right w:val="none" w:sz="0" w:space="0" w:color="auto"/>
          </w:divBdr>
          <w:divsChild>
            <w:div w:id="364410502">
              <w:marLeft w:val="0"/>
              <w:marRight w:val="0"/>
              <w:marTop w:val="0"/>
              <w:marBottom w:val="0"/>
              <w:divBdr>
                <w:top w:val="none" w:sz="0" w:space="0" w:color="auto"/>
                <w:left w:val="none" w:sz="0" w:space="0" w:color="auto"/>
                <w:bottom w:val="none" w:sz="0" w:space="0" w:color="auto"/>
                <w:right w:val="none" w:sz="0" w:space="0" w:color="auto"/>
              </w:divBdr>
              <w:divsChild>
                <w:div w:id="7996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08275">
      <w:bodyDiv w:val="1"/>
      <w:marLeft w:val="0"/>
      <w:marRight w:val="0"/>
      <w:marTop w:val="0"/>
      <w:marBottom w:val="0"/>
      <w:divBdr>
        <w:top w:val="none" w:sz="0" w:space="0" w:color="auto"/>
        <w:left w:val="none" w:sz="0" w:space="0" w:color="auto"/>
        <w:bottom w:val="none" w:sz="0" w:space="0" w:color="auto"/>
        <w:right w:val="none" w:sz="0" w:space="0" w:color="auto"/>
      </w:divBdr>
      <w:divsChild>
        <w:div w:id="1020743748">
          <w:marLeft w:val="0"/>
          <w:marRight w:val="0"/>
          <w:marTop w:val="0"/>
          <w:marBottom w:val="0"/>
          <w:divBdr>
            <w:top w:val="none" w:sz="0" w:space="0" w:color="auto"/>
            <w:left w:val="none" w:sz="0" w:space="0" w:color="auto"/>
            <w:bottom w:val="none" w:sz="0" w:space="0" w:color="auto"/>
            <w:right w:val="none" w:sz="0" w:space="0" w:color="auto"/>
          </w:divBdr>
          <w:divsChild>
            <w:div w:id="698051843">
              <w:marLeft w:val="0"/>
              <w:marRight w:val="0"/>
              <w:marTop w:val="0"/>
              <w:marBottom w:val="0"/>
              <w:divBdr>
                <w:top w:val="none" w:sz="0" w:space="0" w:color="auto"/>
                <w:left w:val="none" w:sz="0" w:space="0" w:color="auto"/>
                <w:bottom w:val="none" w:sz="0" w:space="0" w:color="auto"/>
                <w:right w:val="none" w:sz="0" w:space="0" w:color="auto"/>
              </w:divBdr>
              <w:divsChild>
                <w:div w:id="11188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9C4B2-52CB-4CF0-8AEC-C8483EB23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1037</Words>
  <Characters>5917</Characters>
  <Application>Microsoft Office Word</Application>
  <DocSecurity>0</DocSecurity>
  <Lines>49</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Manager/>
  <Company/>
  <LinksUpToDate>false</LinksUpToDate>
  <CharactersWithSpaces>6941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cp:lastPrinted>2026-10-19T14:21:00Z</cp:lastPrinted>
  <dcterms:created xsi:type="dcterms:W3CDTF">2026-10-19T15:32:00Z</dcterms:created>
  <dcterms:modified xsi:type="dcterms:W3CDTF">2026-10-19T15:32:00Z</dcterms:modified>
  <cp:category/>
</cp:coreProperties>
</file>